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March 12,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APPROPRIATE FOR OPIOID PROGRAMMING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APPROPRIATE FOR CLIMATE ACTION PROGRAM INITIATIVES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APPROPRIATE FOR FORESTRY MANAGEMENT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AUTHORIZATION TO EXPEND STATE FUNDS FOR PUBLIC WAYS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APPROPRIATE FOR PUBLIC WORKS INFRASTRUCTURE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AMEND GENERAL BY-LAWS – REVOLVING FUNDS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ACCEPT M.G.L. c.59, §5 CLAUSES TWENTY-SECOND I AND TWENTY SECOND J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INCREASE CONTRIBUTORY RETIREMENT COLA ALLOWANCE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1800" w:hanging="360"/>
      </w:pPr>
      <w:r w:rsidDel="00000000" w:rsidR="00000000" w:rsidRPr="00000000">
        <w:rPr>
          <w:rtl w:val="0"/>
        </w:rPr>
        <w:t xml:space="preserve">SET THE ANNUAL DEPARTMENT REVOLVING FUND SPENDING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9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BJAjyYejhDTuU5Pc5bFi8p2cw==">CgMxLjA4AHIhMTNBSkVtcjJ3LThUNU1WOFRTYW53U05IVnNPdnBPMlZm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