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March 5,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highlight w:val="yellow"/>
        </w:rPr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b w:val="1"/>
          <w:color w:val="0070c0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https://needham-k12-ma-us.zoom.us/j/89400722585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7:05</w:t>
        <w:tab/>
        <w:tab/>
        <w:t xml:space="preserve">Annual Town Meeting Warrant Articles (vote as appropriate)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120" w:line="24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TO COMMUNITY PRESERVATION FUND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120" w:line="24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NEEDHAM HISTORY CENTER &amp; MUSEUM’S ONGOING COLLECTIONS STORAGE UPGRADES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120" w:line="24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NEEDHAM CONSERVATION DEPARTMENT &amp; CONSERVATION COMMISSION’S TRAIL SIGNAGE IMPROVEMENTS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120" w:line="24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CHARLES RIVER CENTER EAST MILITIA HEIGHTS DEVELOPMENT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120" w:line="24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NEEDHAM HOUSING AUTHORITY PRESERVATION OF SEABEDS WAY AND CAPTAIN ROBERT COOK DRIVE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120" w:line="24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NEEDHAM PARK AND RECREATION DEPARTMENT: ACTION PARK AND PICKLEBALL COURTS (DESIGN)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120" w:line="24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FOR NEEDHAM PARK AND RECREATION DEPARTMENT AND DEPARTMENT OF PUBLIC WORKS: ELIOT SCHOOL GROUNDS RENOVATION (DESIGN)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120" w:line="240" w:lineRule="auto"/>
        <w:ind w:left="2070" w:hanging="360"/>
        <w:rPr>
          <w:u w:val="none"/>
        </w:rPr>
      </w:pPr>
      <w:r w:rsidDel="00000000" w:rsidR="00000000" w:rsidRPr="00000000">
        <w:rPr>
          <w:rtl w:val="0"/>
        </w:rPr>
        <w:t xml:space="preserve">APPROPRIATE FY2026 CPA BUDGET AND RESERVES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8:10</w:t>
        <w:tab/>
        <w:tab/>
        <w:t xml:space="preserve">Stephen Palmer Reuse Development Committee Appointment</w:t>
      </w:r>
    </w:p>
    <w:p w:rsidR="00000000" w:rsidDel="00000000" w:rsidP="00000000" w:rsidRDefault="00000000" w:rsidRPr="00000000" w14:paraId="00000017">
      <w:pPr>
        <w:ind w:left="1440" w:hanging="1440"/>
        <w:rPr/>
      </w:pPr>
      <w:r w:rsidDel="00000000" w:rsidR="00000000" w:rsidRPr="00000000">
        <w:rPr>
          <w:rtl w:val="0"/>
        </w:rPr>
        <w:t xml:space="preserve">8:15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A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9400722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kTkSNcrzBTVu2BxWO7dd3ajTOQ==">CgMxLjA4AHIhMTdiRnZLclZqVDdqeFdPV296RW9DNHZjeFVQSHhWTDky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