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February 12,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>
          <w:u w:val="none"/>
        </w:rPr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Department Budget Hearings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Building Department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Select Board and the Office of the Town Manager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Minuteman Regional High School Assessment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Finance Committee and Reserve Fund</w:t>
      </w:r>
    </w:p>
    <w:p w:rsidR="00000000" w:rsidDel="00000000" w:rsidP="00000000" w:rsidRDefault="00000000" w:rsidRPr="00000000" w14:paraId="00000012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7:35</w:t>
        <w:tab/>
        <w:tab/>
        <w:t xml:space="preserve">Townwide Expenses Budget Hearings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890" w:hanging="450"/>
      </w:pPr>
      <w:r w:rsidDel="00000000" w:rsidR="00000000" w:rsidRPr="00000000">
        <w:rPr>
          <w:rtl w:val="0"/>
        </w:rPr>
        <w:t xml:space="preserve">Casualty, Liability, Property &amp; Self-Insurance Program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890" w:hanging="450"/>
      </w:pPr>
      <w:r w:rsidDel="00000000" w:rsidR="00000000" w:rsidRPr="00000000">
        <w:rPr>
          <w:rtl w:val="0"/>
        </w:rPr>
        <w:t xml:space="preserve">Debt Service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890" w:hanging="450"/>
      </w:pPr>
      <w:r w:rsidDel="00000000" w:rsidR="00000000" w:rsidRPr="00000000">
        <w:rPr>
          <w:rtl w:val="0"/>
        </w:rPr>
        <w:t xml:space="preserve">Needham Electric, Light &amp; Gas Program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8:00</w:t>
        <w:tab/>
        <w:tab/>
        <w:t xml:space="preserve">Finance Committee Discussion of FY2026 Preliminary Budget Recommendation</w:t>
      </w:r>
    </w:p>
    <w:p w:rsidR="00000000" w:rsidDel="00000000" w:rsidP="00000000" w:rsidRDefault="00000000" w:rsidRPr="00000000" w14:paraId="0000001A">
      <w:pPr>
        <w:ind w:left="720" w:firstLine="720"/>
        <w:rPr/>
      </w:pPr>
      <w:r w:rsidDel="00000000" w:rsidR="00000000" w:rsidRPr="00000000">
        <w:rPr>
          <w:rtl w:val="0"/>
        </w:rPr>
        <w:t xml:space="preserve">Budget to be voted at February 19 Meeting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F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z0jb6zC/01aHGFwg6oY47GpnQ==">CgMxLjA4AHIhMWlkdGZyZUlSZ1hXMFNNbU9TNjI3Mmg5VzNHMk9uZkRF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