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January 15,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D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  <w:t xml:space="preserve">Department Budget Hearings</w:t>
      </w:r>
    </w:p>
    <w:p w:rsidR="00000000" w:rsidDel="00000000" w:rsidP="00000000" w:rsidRDefault="00000000" w:rsidRPr="00000000" w14:paraId="0000000F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Planning and Community Development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7:20</w:t>
        <w:tab/>
        <w:tab/>
        <w:t xml:space="preserve">Townwide Expenses Budget Hearings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Group Health Insurance, Employee Benefits &amp; Administrative Costs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Retiree Insurance and Insurance Liability Fund (OPEB)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Retirement Assessment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Workers Compensation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Classification Performance &amp; Settlements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Injured on Duty &amp;111F Settlements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hanging="1440"/>
        <w:rPr/>
      </w:pPr>
      <w:r w:rsidDel="00000000" w:rsidR="00000000" w:rsidRPr="00000000">
        <w:rPr>
          <w:rtl w:val="0"/>
        </w:rPr>
        <w:t xml:space="preserve">8:00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F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6ZqzPCUdnmMtPS3lDlt/sJ/Ppg==">CgMxLjA4AHIhMTA4STNLWEJGWjIwZWhUdnJSUW5pd204M3ozYzZmNnNV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